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jc w:val="center"/>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公开询价函</w:t>
      </w:r>
    </w:p>
    <w:p>
      <w:pPr>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（省慈【2020】年001号)</w:t>
      </w:r>
    </w:p>
    <w:p>
      <w:pPr>
        <w:pageBreakBefore w:val="0"/>
        <w:widowControl w:val="0"/>
        <w:kinsoku/>
        <w:wordWrap/>
        <w:overflowPunct/>
        <w:topLinePunct w:val="0"/>
        <w:autoSpaceDE/>
        <w:autoSpaceDN/>
        <w:bidi w:val="0"/>
        <w:adjustRightInd/>
        <w:snapToGrid/>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10"/>
          <w:szCs w:val="10"/>
          <w:lang w:val="en-US" w:eastAsia="zh-CN"/>
        </w:rPr>
      </w:pPr>
      <w:r>
        <w:rPr>
          <w:rFonts w:hint="eastAsia" w:ascii="微软雅黑" w:hAnsi="微软雅黑" w:eastAsia="微软雅黑" w:cs="微软雅黑"/>
          <w:sz w:val="24"/>
          <w:szCs w:val="24"/>
          <w:lang w:val="en-US" w:eastAsia="zh-CN"/>
        </w:rPr>
        <w:t>河北省慈善总会委托北京瑞源弘德科技有限公司（弘德网-德茂通）就河北省</w:t>
      </w:r>
      <w:r>
        <w:rPr>
          <w:rFonts w:hint="eastAsia" w:ascii="微软雅黑" w:hAnsi="微软雅黑" w:eastAsia="微软雅黑" w:cs="微软雅黑"/>
          <w:sz w:val="24"/>
          <w:szCs w:val="24"/>
        </w:rPr>
        <w:t>黄骅市南排河镇歧口完全</w:t>
      </w:r>
      <w:r>
        <w:rPr>
          <w:rFonts w:hint="eastAsia" w:ascii="微软雅黑" w:hAnsi="微软雅黑" w:eastAsia="微软雅黑" w:cs="微软雅黑"/>
          <w:sz w:val="24"/>
          <w:szCs w:val="24"/>
          <w:lang w:val="en-US" w:eastAsia="zh-CN"/>
        </w:rPr>
        <w:t>小学采购项目进行询价，现将有关事项告知如下：</w:t>
      </w:r>
    </w:p>
    <w:p>
      <w:pPr>
        <w:pStyle w:val="3"/>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供应商资格条件</w:t>
      </w:r>
    </w:p>
    <w:p>
      <w:pPr>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报价人应具有独立法人资格，且符合、承认并承诺履行本询价文件各项规定，所提供的货物和服务须在我国境内合法生产、销售的。</w:t>
      </w:r>
    </w:p>
    <w:p>
      <w:pPr>
        <w:pStyle w:val="3"/>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标的需求</w:t>
      </w:r>
    </w:p>
    <w:p>
      <w:pPr>
        <w:pStyle w:val="3"/>
        <w:pageBreakBefore w:val="0"/>
        <w:widowControl w:val="0"/>
        <w:numPr>
          <w:ilvl w:val="0"/>
          <w:numId w:val="2"/>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项目概括说明</w:t>
      </w:r>
    </w:p>
    <w:p>
      <w:pPr>
        <w:pageBreakBefore w:val="0"/>
        <w:widowControl w:val="0"/>
        <w:numPr>
          <w:ilvl w:val="0"/>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本次询价项目为：《小学物资采购项目》，如下表所示。</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1、货物清单及参数</w:t>
      </w:r>
    </w:p>
    <w:tbl>
      <w:tblPr>
        <w:tblStyle w:val="5"/>
        <w:tblW w:w="9422" w:type="dxa"/>
        <w:jc w:val="center"/>
        <w:shd w:val="clear" w:color="auto" w:fill="auto"/>
        <w:tblLayout w:type="fixed"/>
        <w:tblCellMar>
          <w:top w:w="0" w:type="dxa"/>
          <w:left w:w="0" w:type="dxa"/>
          <w:bottom w:w="0" w:type="dxa"/>
          <w:right w:w="0" w:type="dxa"/>
        </w:tblCellMar>
      </w:tblPr>
      <w:tblGrid>
        <w:gridCol w:w="1153"/>
        <w:gridCol w:w="497"/>
        <w:gridCol w:w="600"/>
        <w:gridCol w:w="7172"/>
      </w:tblGrid>
      <w:tr>
        <w:tblPrEx>
          <w:shd w:val="clear" w:color="auto" w:fill="auto"/>
          <w:tblCellMar>
            <w:top w:w="0" w:type="dxa"/>
            <w:left w:w="0" w:type="dxa"/>
            <w:bottom w:w="0" w:type="dxa"/>
            <w:right w:w="0" w:type="dxa"/>
          </w:tblCellMar>
        </w:tblPrEx>
        <w:trPr>
          <w:trHeight w:val="300"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tcMar>
              <w:top w:w="15" w:type="dxa"/>
              <w:left w:w="15" w:type="dxa"/>
              <w:right w:w="15" w:type="dxa"/>
            </w:tcMar>
            <w:vAlign w:val="center"/>
          </w:tcPr>
          <w:p>
            <w:pPr>
              <w:numPr>
                <w:ilvl w:val="0"/>
                <w:numId w:val="0"/>
              </w:numPr>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产品名称</w:t>
            </w:r>
          </w:p>
        </w:tc>
        <w:tc>
          <w:tcPr>
            <w:tcW w:w="497" w:type="dxa"/>
            <w:tcBorders>
              <w:top w:val="single" w:color="2B2B2B" w:sz="4" w:space="0"/>
              <w:left w:val="single" w:color="2B2B2B" w:sz="4" w:space="0"/>
              <w:bottom w:val="single" w:color="2B2B2B" w:sz="4" w:space="0"/>
              <w:right w:val="single" w:color="2B2B2B" w:sz="4" w:space="0"/>
            </w:tcBorders>
            <w:shd w:val="clear" w:color="auto" w:fill="auto"/>
            <w:tcMar>
              <w:top w:w="15" w:type="dxa"/>
              <w:left w:w="15" w:type="dxa"/>
              <w:right w:w="15" w:type="dxa"/>
            </w:tcMar>
            <w:vAlign w:val="center"/>
          </w:tcPr>
          <w:p>
            <w:pPr>
              <w:numPr>
                <w:ilvl w:val="0"/>
                <w:numId w:val="0"/>
              </w:numPr>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单位</w:t>
            </w:r>
          </w:p>
        </w:tc>
        <w:tc>
          <w:tcPr>
            <w:tcW w:w="600" w:type="dxa"/>
            <w:tcBorders>
              <w:top w:val="single" w:color="2B2B2B" w:sz="4" w:space="0"/>
              <w:left w:val="single" w:color="2B2B2B" w:sz="4" w:space="0"/>
              <w:bottom w:val="single" w:color="2B2B2B" w:sz="4" w:space="0"/>
              <w:right w:val="single" w:color="2B2B2B" w:sz="4" w:space="0"/>
            </w:tcBorders>
            <w:shd w:val="clear" w:color="auto" w:fill="auto"/>
            <w:tcMar>
              <w:top w:w="15" w:type="dxa"/>
              <w:left w:w="15" w:type="dxa"/>
              <w:right w:w="15" w:type="dxa"/>
            </w:tcMar>
            <w:vAlign w:val="center"/>
          </w:tcPr>
          <w:p>
            <w:pPr>
              <w:numPr>
                <w:ilvl w:val="0"/>
                <w:numId w:val="0"/>
              </w:numPr>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数量</w:t>
            </w:r>
          </w:p>
        </w:tc>
        <w:tc>
          <w:tcPr>
            <w:tcW w:w="7172" w:type="dxa"/>
            <w:tcBorders>
              <w:top w:val="single" w:color="2B2B2B" w:sz="4" w:space="0"/>
              <w:left w:val="single" w:color="2B2B2B" w:sz="4" w:space="0"/>
              <w:bottom w:val="single" w:color="2B2B2B" w:sz="4" w:space="0"/>
              <w:right w:val="single" w:color="2B2B2B" w:sz="4" w:space="0"/>
            </w:tcBorders>
            <w:shd w:val="clear" w:color="auto" w:fill="auto"/>
            <w:tcMar>
              <w:top w:w="15" w:type="dxa"/>
              <w:left w:w="15" w:type="dxa"/>
              <w:right w:w="15" w:type="dxa"/>
            </w:tcMar>
            <w:vAlign w:val="center"/>
          </w:tcPr>
          <w:p>
            <w:pPr>
              <w:numPr>
                <w:ilvl w:val="0"/>
                <w:numId w:val="0"/>
              </w:numPr>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参数</w:t>
            </w:r>
          </w:p>
        </w:tc>
      </w:tr>
      <w:tr>
        <w:tblPrEx>
          <w:tblCellMar>
            <w:top w:w="0" w:type="dxa"/>
            <w:left w:w="0" w:type="dxa"/>
            <w:bottom w:w="0" w:type="dxa"/>
            <w:right w:w="0" w:type="dxa"/>
          </w:tblCellMar>
        </w:tblPrEx>
        <w:trPr>
          <w:trHeight w:val="285"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希沃</w:t>
            </w:r>
            <w:r>
              <w:rPr>
                <w:rFonts w:hint="eastAsia" w:ascii="微软雅黑" w:hAnsi="微软雅黑" w:eastAsia="微软雅黑" w:cs="微软雅黑"/>
                <w:b w:val="0"/>
                <w:bCs w:val="0"/>
                <w:sz w:val="18"/>
                <w:szCs w:val="18"/>
              </w:rPr>
              <w:t>多媒体</w:t>
            </w:r>
            <w:r>
              <w:rPr>
                <w:rFonts w:hint="eastAsia" w:ascii="微软雅黑" w:hAnsi="微软雅黑" w:eastAsia="微软雅黑" w:cs="微软雅黑"/>
                <w:b w:val="0"/>
                <w:bCs w:val="0"/>
                <w:sz w:val="18"/>
                <w:szCs w:val="18"/>
                <w:lang w:eastAsia="zh-CN"/>
              </w:rPr>
              <w:t>教学一体机</w:t>
            </w:r>
          </w:p>
        </w:tc>
        <w:tc>
          <w:tcPr>
            <w:tcW w:w="497"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套</w:t>
            </w:r>
          </w:p>
        </w:tc>
        <w:tc>
          <w:tcPr>
            <w:tcW w:w="600"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w:t>
            </w:r>
          </w:p>
        </w:tc>
        <w:tc>
          <w:tcPr>
            <w:tcW w:w="7172"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TV制式:PAL图像制式: PAL/SECAM触摸屏书写方式:手指,笔(任何直径≥5mm的不透光物体)触摸屏响应时间:&lt;15ms触摸屏多点触摸:10点触摸触摸屏触摸精度:≥5mm通讯方式:全速USB视频解码:3D数字梳状滤波器、3D图像运动降噪、3D运动自适应梳状滤波等超薄超窄外观,前置触摸按键,前置USB端口,模块化安全设计。</w:t>
            </w:r>
          </w:p>
        </w:tc>
      </w:tr>
      <w:tr>
        <w:tblPrEx>
          <w:tblCellMar>
            <w:top w:w="0" w:type="dxa"/>
            <w:left w:w="0" w:type="dxa"/>
            <w:bottom w:w="0" w:type="dxa"/>
            <w:right w:w="0" w:type="dxa"/>
          </w:tblCellMar>
        </w:tblPrEx>
        <w:trPr>
          <w:trHeight w:val="90"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eastAsia="zh-CN"/>
              </w:rPr>
              <w:t>美的空调</w:t>
            </w:r>
          </w:p>
        </w:tc>
        <w:tc>
          <w:tcPr>
            <w:tcW w:w="497"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台</w:t>
            </w:r>
          </w:p>
        </w:tc>
        <w:tc>
          <w:tcPr>
            <w:tcW w:w="600"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7172"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tabs>
                <w:tab w:val="left" w:pos="7360"/>
              </w:tabs>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KFR-72LW/BP2DN8Y-DA400(B3)</w:t>
            </w:r>
            <w:r>
              <w:rPr>
                <w:rFonts w:hint="eastAsia" w:ascii="微软雅黑" w:hAnsi="微软雅黑" w:eastAsia="微软雅黑" w:cs="微软雅黑"/>
                <w:sz w:val="18"/>
                <w:szCs w:val="18"/>
                <w:lang w:val="en-US" w:eastAsia="zh-CN"/>
              </w:rPr>
              <w:t>冷暖三匹立式</w:t>
            </w:r>
            <w:r>
              <w:rPr>
                <w:rFonts w:hint="eastAsia" w:ascii="微软雅黑" w:hAnsi="微软雅黑" w:eastAsia="微软雅黑" w:cs="微软雅黑"/>
                <w:sz w:val="18"/>
                <w:szCs w:val="18"/>
                <w:lang w:eastAsia="zh-CN"/>
              </w:rPr>
              <w:t>柜机SEER</w:t>
            </w:r>
            <w:r>
              <w:rPr>
                <w:rFonts w:hint="eastAsia" w:ascii="微软雅黑" w:hAnsi="微软雅黑" w:eastAsia="微软雅黑" w:cs="微软雅黑"/>
                <w:sz w:val="18"/>
                <w:szCs w:val="18"/>
                <w:lang w:val="en-US" w:eastAsia="zh-CN"/>
              </w:rPr>
              <w:t xml:space="preserve"> 3.50,APF 3.26,能效等级变频3级，电压/频率220V/50Hz，制冷量(W)7200(1350~8600)制冷功率(W)2420(440~3600)制冷电流(A)11.2(2.0~16.5)制热量(W)9100(1250~10760)+2500，制热功率(W)2900(390~3920)+2500，制热电流(A)13.5(1.8~18.0)+11.6，室内低风-高风档35~44，室内超高风档47室外56，循环风量（m³/h)1200，室内40，室外45，室内1780*325*502，室外890(940)*673*342，制冷适用面积(m²)32~48，制热适用面积(m²)36~49。</w:t>
            </w:r>
          </w:p>
        </w:tc>
      </w:tr>
      <w:tr>
        <w:tblPrEx>
          <w:shd w:val="clear" w:color="auto" w:fill="auto"/>
          <w:tblCellMar>
            <w:top w:w="0" w:type="dxa"/>
            <w:left w:w="0" w:type="dxa"/>
            <w:bottom w:w="0" w:type="dxa"/>
            <w:right w:w="0" w:type="dxa"/>
          </w:tblCellMar>
        </w:tblPrEx>
        <w:trPr>
          <w:trHeight w:val="285"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志高直饮机</w:t>
            </w:r>
          </w:p>
        </w:tc>
        <w:tc>
          <w:tcPr>
            <w:tcW w:w="497"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台</w:t>
            </w:r>
          </w:p>
        </w:tc>
        <w:tc>
          <w:tcPr>
            <w:tcW w:w="600"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w:t>
            </w:r>
          </w:p>
        </w:tc>
        <w:tc>
          <w:tcPr>
            <w:tcW w:w="7172"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定做6温，定做220V50Hz，三桶三级过滤无压内胆设计，使用温开水节能80%,定时消毒，定时换水/排空，智能弱电控制，智能防干烧系统，故障代码显示，防溅水豪华水槽，液晶显示，机身高档拉丝防指纹不锈钢。</w:t>
            </w:r>
          </w:p>
        </w:tc>
      </w:tr>
      <w:tr>
        <w:tblPrEx>
          <w:tblCellMar>
            <w:top w:w="0" w:type="dxa"/>
            <w:left w:w="0" w:type="dxa"/>
            <w:bottom w:w="0" w:type="dxa"/>
            <w:right w:w="0" w:type="dxa"/>
          </w:tblCellMar>
        </w:tblPrEx>
        <w:trPr>
          <w:trHeight w:val="285"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 xml:space="preserve">课桌椅 </w:t>
            </w:r>
          </w:p>
        </w:tc>
        <w:tc>
          <w:tcPr>
            <w:tcW w:w="497"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套</w:t>
            </w:r>
          </w:p>
        </w:tc>
        <w:tc>
          <w:tcPr>
            <w:tcW w:w="600"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7172"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课桌规格尺寸：600*450*720H</w:t>
            </w:r>
            <w:r>
              <w:rPr>
                <w:rFonts w:hint="eastAsia" w:ascii="微软雅黑" w:hAnsi="微软雅黑" w:eastAsia="微软雅黑" w:cs="微软雅黑"/>
                <w:sz w:val="18"/>
                <w:szCs w:val="18"/>
                <w:lang w:val="en-US" w:eastAsia="zh-CN"/>
              </w:rPr>
              <w:t>采用高密度环保板，按照人体肘部与桌沿交互舒适性，兼顾美观与牢固课桌椅；椅子</w:t>
            </w:r>
            <w:r>
              <w:rPr>
                <w:rFonts w:hint="eastAsia" w:ascii="微软雅黑" w:hAnsi="微软雅黑" w:eastAsia="微软雅黑" w:cs="微软雅黑"/>
                <w:b w:val="0"/>
                <w:bCs w:val="0"/>
                <w:sz w:val="18"/>
                <w:szCs w:val="18"/>
                <w:lang w:val="en-US" w:eastAsia="zh-CN"/>
              </w:rPr>
              <w:t>规格尺寸：400*350*750材质采用</w:t>
            </w:r>
            <w:r>
              <w:rPr>
                <w:rFonts w:hint="eastAsia" w:ascii="微软雅黑" w:hAnsi="微软雅黑" w:eastAsia="微软雅黑" w:cs="微软雅黑"/>
                <w:sz w:val="18"/>
                <w:szCs w:val="18"/>
                <w:lang w:val="en-US" w:eastAsia="zh-CN"/>
              </w:rPr>
              <w:t>高密度环保板，高韧性、耐冲击性强，根据人体工学原理设计，增加舒适度。椅腿和椅脚采用钢管组合焊接而成，结构牢固，不摇晃、不松散。喷涂；焊接后，经过打磨、酸洗、磷化工艺处理和静电喷涂。</w:t>
            </w:r>
          </w:p>
        </w:tc>
      </w:tr>
      <w:tr>
        <w:tblPrEx>
          <w:tblCellMar>
            <w:top w:w="0" w:type="dxa"/>
            <w:left w:w="0" w:type="dxa"/>
            <w:bottom w:w="0" w:type="dxa"/>
            <w:right w:w="0" w:type="dxa"/>
          </w:tblCellMar>
        </w:tblPrEx>
        <w:trPr>
          <w:trHeight w:val="285" w:hRule="atLeast"/>
          <w:jc w:val="center"/>
        </w:trPr>
        <w:tc>
          <w:tcPr>
            <w:tcW w:w="1153"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教师讲桌</w:t>
            </w:r>
          </w:p>
        </w:tc>
        <w:tc>
          <w:tcPr>
            <w:tcW w:w="497"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张</w:t>
            </w:r>
          </w:p>
        </w:tc>
        <w:tc>
          <w:tcPr>
            <w:tcW w:w="600"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7172" w:type="dxa"/>
            <w:tcBorders>
              <w:top w:val="single" w:color="2B2B2B" w:sz="4" w:space="0"/>
              <w:left w:val="single" w:color="2B2B2B" w:sz="4" w:space="0"/>
              <w:bottom w:val="single" w:color="2B2B2B" w:sz="4" w:space="0"/>
              <w:right w:val="single" w:color="2B2B2B" w:sz="4" w:space="0"/>
            </w:tcBorders>
            <w:shd w:val="clear" w:color="auto" w:fill="auto"/>
            <w:noWrap/>
            <w:tcMar>
              <w:top w:w="15" w:type="dxa"/>
              <w:left w:w="15" w:type="dxa"/>
              <w:right w:w="15" w:type="dxa"/>
            </w:tcMar>
            <w:vAlign w:val="center"/>
          </w:tcPr>
          <w:p>
            <w:pPr>
              <w:numPr>
                <w:ilvl w:val="0"/>
                <w:numId w:val="0"/>
              </w:numPr>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bCs w:val="0"/>
                <w:sz w:val="18"/>
                <w:szCs w:val="18"/>
                <w:lang w:val="en-US" w:eastAsia="zh-CN"/>
              </w:rPr>
              <w:t>规格尺寸：1200*600*1050H</w:t>
            </w:r>
            <w:r>
              <w:rPr>
                <w:rFonts w:hint="eastAsia" w:ascii="微软雅黑" w:hAnsi="微软雅黑" w:eastAsia="微软雅黑" w:cs="微软雅黑"/>
                <w:sz w:val="18"/>
                <w:szCs w:val="18"/>
                <w:lang w:val="en-US" w:eastAsia="zh-CN"/>
              </w:rPr>
              <w:t>采用符合国家标准环保的多层板，有良好的防火、防水性能。桌面平整，拆装配件牢固严密，美观大方。</w:t>
            </w:r>
          </w:p>
        </w:tc>
      </w:tr>
    </w:tbl>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2、交货地点：</w:t>
      </w:r>
    </w:p>
    <w:tbl>
      <w:tblPr>
        <w:tblStyle w:val="6"/>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2169"/>
        <w:gridCol w:w="2438"/>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noWrap w:val="0"/>
            <w:vAlign w:val="top"/>
          </w:tcPr>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序号</w:t>
            </w:r>
          </w:p>
        </w:tc>
        <w:tc>
          <w:tcPr>
            <w:tcW w:w="2169" w:type="dxa"/>
            <w:noWrap w:val="0"/>
            <w:vAlign w:val="top"/>
          </w:tcPr>
          <w:p>
            <w:pPr>
              <w:numPr>
                <w:ilvl w:val="0"/>
                <w:numId w:val="0"/>
              </w:num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收货单位</w:t>
            </w:r>
          </w:p>
        </w:tc>
        <w:tc>
          <w:tcPr>
            <w:tcW w:w="2438" w:type="dxa"/>
            <w:noWrap w:val="0"/>
            <w:vAlign w:val="top"/>
          </w:tcPr>
          <w:p>
            <w:pPr>
              <w:numPr>
                <w:ilvl w:val="0"/>
                <w:numId w:val="0"/>
              </w:numPr>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收货地址/联系人</w:t>
            </w:r>
          </w:p>
        </w:tc>
        <w:tc>
          <w:tcPr>
            <w:tcW w:w="3955" w:type="dxa"/>
            <w:noWrap w:val="0"/>
            <w:vAlign w:val="top"/>
          </w:tcPr>
          <w:p>
            <w:pPr>
              <w:numPr>
                <w:ilvl w:val="0"/>
                <w:numId w:val="0"/>
              </w:num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产品明细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7" w:type="dxa"/>
            <w:vMerge w:val="restart"/>
            <w:noWrap w:val="0"/>
            <w:vAlign w:val="center"/>
          </w:tcPr>
          <w:p>
            <w:pPr>
              <w:numPr>
                <w:ilvl w:val="0"/>
                <w:numId w:val="0"/>
              </w:num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p>
        </w:tc>
        <w:tc>
          <w:tcPr>
            <w:tcW w:w="2169" w:type="dxa"/>
            <w:vMerge w:val="restart"/>
            <w:noWrap w:val="0"/>
            <w:vAlign w:val="center"/>
          </w:tcPr>
          <w:p>
            <w:pPr>
              <w:numPr>
                <w:ilvl w:val="0"/>
                <w:numId w:val="0"/>
              </w:num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河北省</w:t>
            </w:r>
            <w:r>
              <w:rPr>
                <w:rFonts w:hint="eastAsia" w:ascii="微软雅黑" w:hAnsi="微软雅黑" w:eastAsia="微软雅黑" w:cs="微软雅黑"/>
                <w:sz w:val="24"/>
                <w:szCs w:val="24"/>
              </w:rPr>
              <w:t>黄骅市南排河镇歧口完全</w:t>
            </w:r>
            <w:r>
              <w:rPr>
                <w:rFonts w:hint="eastAsia" w:ascii="微软雅黑" w:hAnsi="微软雅黑" w:eastAsia="微软雅黑" w:cs="微软雅黑"/>
                <w:sz w:val="24"/>
                <w:szCs w:val="24"/>
                <w:lang w:eastAsia="zh-CN"/>
              </w:rPr>
              <w:t>小学</w:t>
            </w:r>
          </w:p>
        </w:tc>
        <w:tc>
          <w:tcPr>
            <w:tcW w:w="2438" w:type="dxa"/>
            <w:vMerge w:val="restart"/>
            <w:noWrap w:val="0"/>
            <w:vAlign w:val="center"/>
          </w:tcPr>
          <w:p>
            <w:pPr>
              <w:numPr>
                <w:ilvl w:val="0"/>
                <w:numId w:val="0"/>
              </w:numPr>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河北省</w:t>
            </w:r>
            <w:r>
              <w:rPr>
                <w:rFonts w:hint="eastAsia" w:ascii="微软雅黑" w:hAnsi="微软雅黑" w:eastAsia="微软雅黑" w:cs="微软雅黑"/>
                <w:sz w:val="24"/>
                <w:szCs w:val="24"/>
              </w:rPr>
              <w:t>黄骅市南排河镇歧口完全</w:t>
            </w:r>
            <w:r>
              <w:rPr>
                <w:rFonts w:hint="eastAsia" w:ascii="微软雅黑" w:hAnsi="微软雅黑" w:eastAsia="微软雅黑" w:cs="微软雅黑"/>
                <w:sz w:val="24"/>
                <w:szCs w:val="24"/>
                <w:lang w:eastAsia="zh-CN"/>
              </w:rPr>
              <w:t>小学</w:t>
            </w:r>
          </w:p>
          <w:p>
            <w:pPr>
              <w:numPr>
                <w:ilvl w:val="0"/>
                <w:numId w:val="0"/>
              </w:numPr>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联系人谢金镇</w:t>
            </w:r>
            <w:r>
              <w:rPr>
                <w:rFonts w:hint="eastAsia" w:ascii="微软雅黑" w:hAnsi="微软雅黑" w:eastAsia="微软雅黑" w:cs="微软雅黑"/>
                <w:sz w:val="24"/>
                <w:szCs w:val="24"/>
                <w:lang w:val="en-US" w:eastAsia="zh-CN"/>
              </w:rPr>
              <w:t>13031899268</w:t>
            </w:r>
          </w:p>
        </w:tc>
        <w:tc>
          <w:tcPr>
            <w:tcW w:w="3955" w:type="dxa"/>
            <w:noWrap w:val="0"/>
            <w:vAlign w:val="top"/>
          </w:tcPr>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希沃</w:t>
            </w:r>
            <w:r>
              <w:rPr>
                <w:rFonts w:hint="eastAsia" w:ascii="微软雅黑" w:hAnsi="微软雅黑" w:eastAsia="微软雅黑" w:cs="微软雅黑"/>
                <w:b w:val="0"/>
                <w:bCs w:val="0"/>
                <w:sz w:val="24"/>
                <w:szCs w:val="24"/>
              </w:rPr>
              <w:t>多媒体</w:t>
            </w:r>
            <w:r>
              <w:rPr>
                <w:rFonts w:hint="eastAsia" w:ascii="微软雅黑" w:hAnsi="微软雅黑" w:eastAsia="微软雅黑" w:cs="微软雅黑"/>
                <w:b w:val="0"/>
                <w:bCs w:val="0"/>
                <w:sz w:val="24"/>
                <w:szCs w:val="24"/>
                <w:lang w:eastAsia="zh-CN"/>
              </w:rPr>
              <w:t>教学一体机</w:t>
            </w:r>
            <w:r>
              <w:rPr>
                <w:rFonts w:hint="eastAsia" w:ascii="微软雅黑" w:hAnsi="微软雅黑" w:eastAsia="微软雅黑" w:cs="微软雅黑"/>
                <w:b w:val="0"/>
                <w:bCs w:val="0"/>
                <w:sz w:val="24"/>
                <w:szCs w:val="24"/>
                <w:lang w:val="en-US" w:eastAsia="zh-CN"/>
              </w:rPr>
              <w:t>12套</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F65EC(I3 4G 128G固态触屏75寸)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47" w:type="dxa"/>
            <w:vMerge w:val="continue"/>
            <w:noWrap w:val="0"/>
            <w:vAlign w:val="center"/>
          </w:tcPr>
          <w:p>
            <w:pPr>
              <w:numPr>
                <w:ilvl w:val="0"/>
                <w:numId w:val="0"/>
              </w:numPr>
              <w:jc w:val="center"/>
              <w:rPr>
                <w:rFonts w:hint="eastAsia" w:ascii="微软雅黑" w:hAnsi="微软雅黑" w:eastAsia="微软雅黑" w:cs="微软雅黑"/>
                <w:sz w:val="24"/>
                <w:szCs w:val="24"/>
                <w:lang w:val="en-US" w:eastAsia="zh-CN"/>
              </w:rPr>
            </w:pPr>
          </w:p>
        </w:tc>
        <w:tc>
          <w:tcPr>
            <w:tcW w:w="2169"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2438"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3955" w:type="dxa"/>
            <w:noWrap w:val="0"/>
            <w:vAlign w:val="top"/>
          </w:tcPr>
          <w:p>
            <w:pPr>
              <w:numPr>
                <w:ilvl w:val="0"/>
                <w:numId w:val="0"/>
              </w:num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美的空调</w:t>
            </w:r>
            <w:r>
              <w:rPr>
                <w:rFonts w:hint="eastAsia" w:ascii="微软雅黑" w:hAnsi="微软雅黑" w:eastAsia="微软雅黑" w:cs="微软雅黑"/>
                <w:b w:val="0"/>
                <w:bCs w:val="0"/>
                <w:sz w:val="24"/>
                <w:szCs w:val="24"/>
                <w:lang w:val="en-US" w:eastAsia="zh-CN"/>
              </w:rPr>
              <w:t xml:space="preserve">  15台</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KFR-72LW/BP2DN8Y-DA400(B3)</w:t>
            </w:r>
            <w:r>
              <w:rPr>
                <w:rFonts w:hint="eastAsia" w:ascii="微软雅黑" w:hAnsi="微软雅黑" w:eastAsia="微软雅黑" w:cs="微软雅黑"/>
                <w:sz w:val="24"/>
                <w:szCs w:val="24"/>
                <w:lang w:val="en-US" w:eastAsia="zh-CN"/>
              </w:rPr>
              <w:t>冷暖</w:t>
            </w:r>
            <w:r>
              <w:rPr>
                <w:rFonts w:hint="eastAsia" w:ascii="微软雅黑" w:hAnsi="微软雅黑" w:eastAsia="微软雅黑" w:cs="微软雅黑"/>
                <w:b w:val="0"/>
                <w:bCs w:val="0"/>
                <w:sz w:val="24"/>
                <w:szCs w:val="24"/>
                <w:lang w:val="en-US" w:eastAsia="zh-CN"/>
              </w:rPr>
              <w:t>三匹立式</w:t>
            </w:r>
            <w:r>
              <w:rPr>
                <w:rFonts w:hint="eastAsia" w:ascii="微软雅黑" w:hAnsi="微软雅黑" w:eastAsia="微软雅黑" w:cs="微软雅黑"/>
                <w:b w:val="0"/>
                <w:bCs w:val="0"/>
                <w:sz w:val="24"/>
                <w:szCs w:val="24"/>
                <w:lang w:eastAsia="zh-CN"/>
              </w:rPr>
              <w:t>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47" w:type="dxa"/>
            <w:vMerge w:val="continue"/>
            <w:noWrap w:val="0"/>
            <w:vAlign w:val="center"/>
          </w:tcPr>
          <w:p>
            <w:pPr>
              <w:numPr>
                <w:ilvl w:val="0"/>
                <w:numId w:val="0"/>
              </w:numPr>
              <w:jc w:val="center"/>
              <w:rPr>
                <w:rFonts w:hint="eastAsia" w:ascii="微软雅黑" w:hAnsi="微软雅黑" w:eastAsia="微软雅黑" w:cs="微软雅黑"/>
                <w:sz w:val="24"/>
                <w:szCs w:val="24"/>
                <w:lang w:val="en-US" w:eastAsia="zh-CN"/>
              </w:rPr>
            </w:pPr>
          </w:p>
        </w:tc>
        <w:tc>
          <w:tcPr>
            <w:tcW w:w="2169"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2438"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3955" w:type="dxa"/>
            <w:noWrap w:val="0"/>
            <w:vAlign w:val="top"/>
          </w:tcPr>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志高直饮机  1台</w:t>
            </w:r>
          </w:p>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学校用6温开水直饮机（定做）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47" w:type="dxa"/>
            <w:vMerge w:val="continue"/>
            <w:noWrap w:val="0"/>
            <w:vAlign w:val="center"/>
          </w:tcPr>
          <w:p>
            <w:pPr>
              <w:numPr>
                <w:ilvl w:val="0"/>
                <w:numId w:val="0"/>
              </w:numPr>
              <w:jc w:val="center"/>
              <w:rPr>
                <w:rFonts w:hint="eastAsia" w:ascii="微软雅黑" w:hAnsi="微软雅黑" w:eastAsia="微软雅黑" w:cs="微软雅黑"/>
                <w:sz w:val="24"/>
                <w:szCs w:val="24"/>
                <w:lang w:val="en-US" w:eastAsia="zh-CN"/>
              </w:rPr>
            </w:pPr>
          </w:p>
        </w:tc>
        <w:tc>
          <w:tcPr>
            <w:tcW w:w="2169"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2438"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3955" w:type="dxa"/>
            <w:noWrap w:val="0"/>
            <w:vAlign w:val="top"/>
          </w:tcPr>
          <w:p>
            <w:pPr>
              <w:numPr>
                <w:ilvl w:val="0"/>
                <w:numId w:val="0"/>
              </w:numPr>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课桌椅 90套600*450*720H、400*350*750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47" w:type="dxa"/>
            <w:vMerge w:val="continue"/>
            <w:noWrap w:val="0"/>
            <w:vAlign w:val="center"/>
          </w:tcPr>
          <w:p>
            <w:pPr>
              <w:numPr>
                <w:ilvl w:val="0"/>
                <w:numId w:val="0"/>
              </w:numPr>
              <w:jc w:val="center"/>
              <w:rPr>
                <w:rFonts w:hint="eastAsia" w:ascii="微软雅黑" w:hAnsi="微软雅黑" w:eastAsia="微软雅黑" w:cs="微软雅黑"/>
                <w:sz w:val="24"/>
                <w:szCs w:val="24"/>
                <w:lang w:val="en-US" w:eastAsia="zh-CN"/>
              </w:rPr>
            </w:pPr>
          </w:p>
        </w:tc>
        <w:tc>
          <w:tcPr>
            <w:tcW w:w="2169"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2438" w:type="dxa"/>
            <w:vMerge w:val="continue"/>
            <w:noWrap w:val="0"/>
            <w:vAlign w:val="top"/>
          </w:tcPr>
          <w:p>
            <w:pPr>
              <w:numPr>
                <w:ilvl w:val="0"/>
                <w:numId w:val="0"/>
              </w:numPr>
              <w:rPr>
                <w:rFonts w:hint="eastAsia" w:ascii="微软雅黑" w:hAnsi="微软雅黑" w:eastAsia="微软雅黑" w:cs="微软雅黑"/>
                <w:sz w:val="24"/>
                <w:szCs w:val="24"/>
                <w:lang w:val="en-US" w:eastAsia="zh-CN"/>
              </w:rPr>
            </w:pPr>
          </w:p>
        </w:tc>
        <w:tc>
          <w:tcPr>
            <w:tcW w:w="39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教师讲桌 15张1200*600*1050H</w:t>
            </w:r>
          </w:p>
        </w:tc>
      </w:tr>
    </w:tbl>
    <w:p>
      <w:pPr>
        <w:numPr>
          <w:ilvl w:val="0"/>
          <w:numId w:val="0"/>
        </w:numPr>
        <w:rPr>
          <w:rFonts w:hint="default" w:ascii="微软雅黑" w:hAnsi="微软雅黑" w:eastAsia="微软雅黑" w:cs="微软雅黑"/>
          <w:sz w:val="10"/>
          <w:szCs w:val="10"/>
          <w:lang w:val="en-US" w:eastAsia="zh-CN"/>
        </w:rPr>
      </w:pPr>
    </w:p>
    <w:p>
      <w:pPr>
        <w:pStyle w:val="3"/>
        <w:pageBreakBefore w:val="0"/>
        <w:widowControl w:val="0"/>
        <w:numPr>
          <w:ilvl w:val="0"/>
          <w:numId w:val="2"/>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服务要求</w:t>
      </w:r>
    </w:p>
    <w:p>
      <w:pPr>
        <w:pageBreakBefore w:val="0"/>
        <w:widowControl w:val="0"/>
        <w:numPr>
          <w:ilvl w:val="0"/>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供应商应提供售后服务承诺函。</w:t>
      </w:r>
    </w:p>
    <w:p>
      <w:pPr>
        <w:pStyle w:val="3"/>
        <w:pageBreakBefore w:val="0"/>
        <w:widowControl w:val="0"/>
        <w:numPr>
          <w:ilvl w:val="0"/>
          <w:numId w:val="2"/>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成果交付时间</w:t>
      </w:r>
    </w:p>
    <w:p>
      <w:pPr>
        <w:pageBreakBefore w:val="0"/>
        <w:widowControl w:val="0"/>
        <w:numPr>
          <w:ilvl w:val="0"/>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签订合同后10天内完成。</w:t>
      </w:r>
    </w:p>
    <w:p>
      <w:pPr>
        <w:pStyle w:val="3"/>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报价文件要求</w:t>
      </w:r>
    </w:p>
    <w:p>
      <w:pPr>
        <w:pageBreakBefore w:val="0"/>
        <w:widowControl w:val="0"/>
        <w:numPr>
          <w:ilvl w:val="0"/>
          <w:numId w:val="3"/>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报价文件须经法定代表人或其授权代表签字、盖章后密封递交。</w:t>
      </w:r>
    </w:p>
    <w:p>
      <w:pPr>
        <w:pageBreakBefore w:val="0"/>
        <w:widowControl w:val="0"/>
        <w:numPr>
          <w:ilvl w:val="0"/>
          <w:numId w:val="0"/>
        </w:numPr>
        <w:kinsoku/>
        <w:wordWrap/>
        <w:overflowPunct/>
        <w:topLinePunct w:val="0"/>
        <w:autoSpaceDE/>
        <w:autoSpaceDN/>
        <w:bidi w:val="0"/>
        <w:adjustRightInd/>
        <w:snapToGrid/>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递送方式：电子报价文件请发电子扫描件至沧州市慈善总会邮箱：czcszh@163.com</w:t>
      </w:r>
    </w:p>
    <w:p>
      <w:pPr>
        <w:numPr>
          <w:ilvl w:val="0"/>
          <w:numId w:val="0"/>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邮件名称：项目名称+报价人名称</w:t>
      </w:r>
    </w:p>
    <w:p>
      <w:pPr>
        <w:numPr>
          <w:ilvl w:val="0"/>
          <w:numId w:val="3"/>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报价函接收截止时间：2020年9月1日上午10点结束。</w:t>
      </w:r>
    </w:p>
    <w:p>
      <w:pPr>
        <w:numPr>
          <w:ilvl w:val="0"/>
          <w:numId w:val="3"/>
        </w:numPr>
        <w:ind w:leftChars="0"/>
        <w:rPr>
          <w:rFonts w:hint="eastAsia" w:ascii="微软雅黑" w:hAnsi="微软雅黑" w:eastAsia="微软雅黑" w:cs="微软雅黑"/>
          <w:spacing w:val="-6"/>
          <w:sz w:val="24"/>
          <w:szCs w:val="24"/>
          <w:lang w:val="en-US" w:eastAsia="zh-CN"/>
        </w:rPr>
      </w:pPr>
      <w:r>
        <w:rPr>
          <w:rFonts w:hint="eastAsia" w:ascii="微软雅黑" w:hAnsi="微软雅黑" w:eastAsia="微软雅黑" w:cs="微软雅黑"/>
          <w:spacing w:val="-6"/>
          <w:sz w:val="24"/>
          <w:szCs w:val="24"/>
          <w:lang w:val="en-US" w:eastAsia="zh-CN"/>
        </w:rPr>
        <w:t>询价会召开时间及地点：2020年9月1日11点 地点 沧州市慈善总会5楼会议室</w:t>
      </w:r>
    </w:p>
    <w:p>
      <w:pPr>
        <w:pageBreakBefore w:val="0"/>
        <w:widowControl w:val="0"/>
        <w:numPr>
          <w:ilvl w:val="0"/>
          <w:numId w:val="3"/>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报价文件包含：报价单、售后服务承诺书。报价单应包括技术指标、单价及总价（含税），售后服务承诺书格式自拟，以及报价人认为所需补充文件。以上文件均需加盖共公章。</w:t>
      </w:r>
    </w:p>
    <w:p>
      <w:pPr>
        <w:pageBreakBefore w:val="0"/>
        <w:widowControl w:val="0"/>
        <w:numPr>
          <w:ilvl w:val="0"/>
          <w:numId w:val="0"/>
        </w:numPr>
        <w:kinsoku/>
        <w:wordWrap/>
        <w:overflowPunct/>
        <w:topLinePunct w:val="0"/>
        <w:autoSpaceDE/>
        <w:autoSpaceDN/>
        <w:bidi w:val="0"/>
        <w:adjustRightInd/>
        <w:snapToGrid/>
        <w:textAlignment w:val="auto"/>
        <w:rPr>
          <w:rFonts w:hint="eastAsia" w:ascii="微软雅黑" w:hAnsi="微软雅黑" w:eastAsia="微软雅黑" w:cs="微软雅黑"/>
          <w:sz w:val="10"/>
          <w:szCs w:val="10"/>
          <w:lang w:val="en-US" w:eastAsia="zh-CN"/>
        </w:rPr>
      </w:pPr>
    </w:p>
    <w:p>
      <w:pPr>
        <w:pStyle w:val="3"/>
        <w:pageBreakBefore w:val="0"/>
        <w:widowControl w:val="0"/>
        <w:numPr>
          <w:ilvl w:val="0"/>
          <w:numId w:val="1"/>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资格审验</w:t>
      </w:r>
    </w:p>
    <w:p>
      <w:pPr>
        <w:pStyle w:val="3"/>
        <w:pageBreakBefore w:val="0"/>
        <w:widowControl w:val="0"/>
        <w:numPr>
          <w:ilvl w:val="0"/>
          <w:numId w:val="4"/>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资格审验指标表</w:t>
      </w:r>
    </w:p>
    <w:tbl>
      <w:tblPr>
        <w:tblStyle w:val="6"/>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447"/>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序号</w:t>
            </w:r>
          </w:p>
        </w:tc>
        <w:tc>
          <w:tcPr>
            <w:tcW w:w="1447"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评审因素</w:t>
            </w:r>
          </w:p>
        </w:tc>
        <w:tc>
          <w:tcPr>
            <w:tcW w:w="6405"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供应商资格评审标准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1</w:t>
            </w:r>
          </w:p>
        </w:tc>
        <w:tc>
          <w:tcPr>
            <w:tcW w:w="1447"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营业执照</w:t>
            </w:r>
          </w:p>
        </w:tc>
        <w:tc>
          <w:tcPr>
            <w:tcW w:w="6405"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具有年检合格有效的营业执照副本复印件加盖公章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2</w:t>
            </w:r>
          </w:p>
        </w:tc>
        <w:tc>
          <w:tcPr>
            <w:tcW w:w="1447"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法人委托书</w:t>
            </w:r>
          </w:p>
        </w:tc>
        <w:tc>
          <w:tcPr>
            <w:tcW w:w="6405"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法人授权委托书、被授权代理人身份证复印件加盖公章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3</w:t>
            </w:r>
          </w:p>
        </w:tc>
        <w:tc>
          <w:tcPr>
            <w:tcW w:w="1447"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承诺函</w:t>
            </w:r>
          </w:p>
        </w:tc>
        <w:tc>
          <w:tcPr>
            <w:tcW w:w="6405" w:type="dxa"/>
          </w:tcPr>
          <w:p>
            <w:pPr>
              <w:widowControl w:val="0"/>
              <w:numPr>
                <w:ilvl w:val="0"/>
                <w:numId w:val="0"/>
              </w:numPr>
              <w:jc w:val="both"/>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所投产品均为原厂正品的承诺函加盖公章</w:t>
            </w:r>
          </w:p>
        </w:tc>
      </w:tr>
    </w:tbl>
    <w:p>
      <w:pPr>
        <w:widowControl w:val="0"/>
        <w:numPr>
          <w:ilvl w:val="0"/>
          <w:numId w:val="0"/>
        </w:numPr>
        <w:jc w:val="both"/>
        <w:rPr>
          <w:rFonts w:hint="eastAsia" w:ascii="微软雅黑" w:hAnsi="微软雅黑" w:eastAsia="微软雅黑" w:cs="微软雅黑"/>
          <w:sz w:val="24"/>
          <w:szCs w:val="24"/>
          <w:lang w:val="en-US" w:eastAsia="zh-CN"/>
        </w:rPr>
      </w:pPr>
    </w:p>
    <w:p>
      <w:pPr>
        <w:widowControl w:val="0"/>
        <w:numPr>
          <w:ilvl w:val="0"/>
          <w:numId w:val="0"/>
        </w:numPr>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以上评审有任何一项未通过的，资格审查不合格；报价文件作废处理。未按规定提交或者提交不全的供应商，报价文件将被拒绝。</w:t>
      </w:r>
    </w:p>
    <w:p>
      <w:pPr>
        <w:pStyle w:val="3"/>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（二）评审小组</w:t>
      </w:r>
    </w:p>
    <w:p>
      <w:pPr>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小组成员由瑞源德邻专项基金代表组成。</w:t>
      </w:r>
    </w:p>
    <w:p>
      <w:pPr>
        <w:pStyle w:val="3"/>
        <w:pageBreakBefore w:val="0"/>
        <w:widowControl w:val="0"/>
        <w:numPr>
          <w:ilvl w:val="0"/>
          <w:numId w:val="1"/>
        </w:numPr>
        <w:kinsoku/>
        <w:wordWrap/>
        <w:overflowPunct/>
        <w:topLinePunct w:val="0"/>
        <w:autoSpaceDE/>
        <w:autoSpaceDN/>
        <w:bidi w:val="0"/>
        <w:adjustRightInd/>
        <w:snapToGrid/>
        <w:spacing w:before="0" w:after="0"/>
        <w:ind w:left="0" w:leftChars="0" w:firstLine="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评审流程</w:t>
      </w:r>
    </w:p>
    <w:p>
      <w:pPr>
        <w:pageBreakBefore w:val="0"/>
        <w:widowControl w:val="0"/>
        <w:numPr>
          <w:ilvl w:val="0"/>
          <w:numId w:val="5"/>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评审小组对所有报价人的报价文件进行评审</w:t>
      </w:r>
    </w:p>
    <w:p>
      <w:pPr>
        <w:pageBreakBefore w:val="0"/>
        <w:widowControl w:val="0"/>
        <w:numPr>
          <w:ilvl w:val="0"/>
          <w:numId w:val="5"/>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由评审小组根据《评审标准》进行综合评定</w:t>
      </w:r>
    </w:p>
    <w:p>
      <w:pPr>
        <w:pageBreakBefore w:val="0"/>
        <w:widowControl w:val="0"/>
        <w:numPr>
          <w:ilvl w:val="0"/>
          <w:numId w:val="5"/>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报价一经评审小组认可，将作为合同的组成部分，即为不可撤回。</w:t>
      </w:r>
    </w:p>
    <w:p>
      <w:pPr>
        <w:pageBreakBefore w:val="0"/>
        <w:widowControl w:val="0"/>
        <w:numPr>
          <w:ilvl w:val="0"/>
          <w:numId w:val="5"/>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询价会议当成公布确定最终的成交供应商。</w:t>
      </w:r>
    </w:p>
    <w:p>
      <w:pPr>
        <w:pageBreakBefore w:val="0"/>
        <w:widowControl w:val="0"/>
        <w:numPr>
          <w:ilvl w:val="0"/>
          <w:numId w:val="5"/>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询价结果公示结束后，双方签署采购合同。</w:t>
      </w:r>
    </w:p>
    <w:p>
      <w:pPr>
        <w:pStyle w:val="3"/>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六、评审标准</w:t>
      </w:r>
    </w:p>
    <w:p>
      <w:pPr>
        <w:pStyle w:val="4"/>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（1）价格指标</w:t>
      </w:r>
    </w:p>
    <w:p>
      <w:pPr>
        <w:pageBreakBefore w:val="0"/>
        <w:widowControl w:val="0"/>
        <w:kinsoku/>
        <w:wordWrap/>
        <w:overflowPunct/>
        <w:topLinePunct w:val="0"/>
        <w:autoSpaceDE/>
        <w:autoSpaceDN/>
        <w:bidi w:val="0"/>
        <w:adjustRightInd/>
        <w:snapToGrid/>
        <w:textAlignment w:val="auto"/>
        <w:rPr>
          <w:rFonts w:hint="default"/>
          <w:spacing w:val="-6"/>
          <w:lang w:val="en-US" w:eastAsia="zh-CN"/>
        </w:rPr>
      </w:pPr>
      <w:r>
        <w:rPr>
          <w:rFonts w:hint="eastAsia" w:ascii="微软雅黑" w:hAnsi="微软雅黑" w:eastAsia="微软雅黑" w:cs="微软雅黑"/>
          <w:b w:val="0"/>
          <w:bCs/>
          <w:sz w:val="24"/>
          <w:szCs w:val="24"/>
          <w:lang w:val="en-US" w:eastAsia="zh-CN"/>
        </w:rPr>
        <w:t>报价应包含产品或者服务的货款、运输费、运输保险费、装卸费、安装调试费及其他</w:t>
      </w:r>
      <w:r>
        <w:rPr>
          <w:rFonts w:hint="eastAsia" w:ascii="微软雅黑" w:hAnsi="微软雅黑" w:eastAsia="微软雅黑" w:cs="微软雅黑"/>
          <w:b w:val="0"/>
          <w:bCs/>
          <w:spacing w:val="-6"/>
          <w:sz w:val="24"/>
          <w:szCs w:val="24"/>
          <w:lang w:val="en-US" w:eastAsia="zh-CN"/>
        </w:rPr>
        <w:t>应有的费用。报价人所报价格为货到现场安装调试完成后的最终优惠价格，并注明税点。</w:t>
      </w:r>
    </w:p>
    <w:p>
      <w:pPr>
        <w:pStyle w:val="4"/>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（2）技术指标</w:t>
      </w:r>
    </w:p>
    <w:p>
      <w:pPr>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产品参数及售后服务承诺书</w:t>
      </w:r>
    </w:p>
    <w:p>
      <w:pPr>
        <w:pStyle w:val="4"/>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（3）综合指标</w:t>
      </w:r>
    </w:p>
    <w:p>
      <w:pPr>
        <w:pageBreakBefore w:val="0"/>
        <w:widowControl w:val="0"/>
        <w:numPr>
          <w:ilvl w:val="0"/>
          <w:numId w:val="6"/>
        </w:numPr>
        <w:kinsoku/>
        <w:wordWrap/>
        <w:overflowPunct/>
        <w:topLinePunct w:val="0"/>
        <w:autoSpaceDE/>
        <w:autoSpaceDN/>
        <w:bidi w:val="0"/>
        <w:adjustRightInd/>
        <w:snapToGrid/>
        <w:ind w:left="0"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其在所从事的行业的历史</w:t>
      </w:r>
    </w:p>
    <w:p>
      <w:pPr>
        <w:pageBreakBefore w:val="0"/>
        <w:widowControl w:val="0"/>
        <w:numPr>
          <w:ilvl w:val="0"/>
          <w:numId w:val="6"/>
        </w:numPr>
        <w:kinsoku/>
        <w:wordWrap/>
        <w:overflowPunct/>
        <w:topLinePunct w:val="0"/>
        <w:autoSpaceDE/>
        <w:autoSpaceDN/>
        <w:bidi w:val="0"/>
        <w:adjustRightInd/>
        <w:snapToGrid/>
        <w:ind w:left="0"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行业中的历史；</w:t>
      </w:r>
    </w:p>
    <w:p>
      <w:pPr>
        <w:pageBreakBefore w:val="0"/>
        <w:widowControl w:val="0"/>
        <w:numPr>
          <w:ilvl w:val="0"/>
          <w:numId w:val="6"/>
        </w:numPr>
        <w:kinsoku/>
        <w:wordWrap/>
        <w:overflowPunct/>
        <w:topLinePunct w:val="0"/>
        <w:autoSpaceDE/>
        <w:autoSpaceDN/>
        <w:bidi w:val="0"/>
        <w:adjustRightInd/>
        <w:snapToGrid/>
        <w:ind w:left="0"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实际经营能力</w:t>
      </w:r>
    </w:p>
    <w:p>
      <w:pPr>
        <w:pageBreakBefore w:val="0"/>
        <w:widowControl w:val="0"/>
        <w:numPr>
          <w:ilvl w:val="0"/>
          <w:numId w:val="6"/>
        </w:numPr>
        <w:kinsoku/>
        <w:wordWrap/>
        <w:overflowPunct/>
        <w:topLinePunct w:val="0"/>
        <w:autoSpaceDE/>
        <w:autoSpaceDN/>
        <w:bidi w:val="0"/>
        <w:adjustRightInd/>
        <w:snapToGrid/>
        <w:ind w:left="0"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人员结构即专业素质</w:t>
      </w:r>
    </w:p>
    <w:p>
      <w:pPr>
        <w:pageBreakBefore w:val="0"/>
        <w:widowControl w:val="0"/>
        <w:numPr>
          <w:ilvl w:val="0"/>
          <w:numId w:val="6"/>
        </w:numPr>
        <w:kinsoku/>
        <w:wordWrap/>
        <w:overflowPunct/>
        <w:topLinePunct w:val="0"/>
        <w:autoSpaceDE/>
        <w:autoSpaceDN/>
        <w:bidi w:val="0"/>
        <w:adjustRightInd/>
        <w:snapToGrid/>
        <w:ind w:left="0"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相关成功案例</w:t>
      </w:r>
    </w:p>
    <w:p>
      <w:pPr>
        <w:pStyle w:val="3"/>
        <w:pageBreakBefore w:val="0"/>
        <w:widowControl w:val="0"/>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七、供应商确认标准</w:t>
      </w:r>
    </w:p>
    <w:p>
      <w:pPr>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按报价由低向高顺序排列。报价相同的，按技术指标、供应商综合指标优劣顺序排列。</w:t>
      </w:r>
    </w:p>
    <w:p>
      <w:pPr>
        <w:pStyle w:val="3"/>
        <w:pageBreakBefore w:val="0"/>
        <w:widowControl w:val="0"/>
        <w:numPr>
          <w:ilvl w:val="0"/>
          <w:numId w:val="7"/>
        </w:numPr>
        <w:kinsoku/>
        <w:wordWrap/>
        <w:overflowPunct/>
        <w:topLinePunct w:val="0"/>
        <w:autoSpaceDE/>
        <w:autoSpaceDN/>
        <w:bidi w:val="0"/>
        <w:adjustRightInd/>
        <w:snapToGrid/>
        <w:spacing w:before="0" w:after="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合同特殊条款</w:t>
      </w:r>
    </w:p>
    <w:p>
      <w:pPr>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详见附件一。</w:t>
      </w:r>
    </w:p>
    <w:p>
      <w:pPr>
        <w:pageBreakBefore w:val="0"/>
        <w:widowControl w:val="0"/>
        <w:numPr>
          <w:ilvl w:val="0"/>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lang w:val="en-US" w:eastAsia="zh-CN"/>
        </w:rPr>
      </w:pPr>
    </w:p>
    <w:p>
      <w:pPr>
        <w:numPr>
          <w:ilvl w:val="0"/>
          <w:numId w:val="0"/>
        </w:numPr>
        <w:ind w:right="-313" w:rightChars="-149"/>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河北省慈善总会</w:t>
      </w:r>
    </w:p>
    <w:p>
      <w:pPr>
        <w:numPr>
          <w:ilvl w:val="0"/>
          <w:numId w:val="0"/>
        </w:numPr>
        <w:ind w:right="-313" w:rightChars="-149"/>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2020年8月26日</w:t>
      </w:r>
    </w:p>
    <w:p>
      <w:pPr>
        <w:pStyle w:val="2"/>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附件一、合同特殊条款</w:t>
      </w:r>
    </w:p>
    <w:p>
      <w:pPr>
        <w:pStyle w:val="3"/>
        <w:numPr>
          <w:ilvl w:val="0"/>
          <w:numId w:val="0"/>
        </w:numPr>
        <w:bidi w:val="0"/>
        <w:spacing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定义</w:t>
      </w:r>
    </w:p>
    <w:p>
      <w:pPr>
        <w:spacing w:before="120" w:line="240" w:lineRule="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 xml:space="preserve"> 买方：本合同买方系指：</w:t>
      </w:r>
      <w:r>
        <w:rPr>
          <w:rFonts w:hint="eastAsia" w:ascii="微软雅黑" w:hAnsi="微软雅黑" w:eastAsia="微软雅黑" w:cs="微软雅黑"/>
          <w:sz w:val="21"/>
          <w:szCs w:val="21"/>
          <w:lang w:eastAsia="zh-CN"/>
        </w:rPr>
        <w:t>河北省</w:t>
      </w:r>
      <w:r>
        <w:rPr>
          <w:rFonts w:hint="eastAsia" w:ascii="微软雅黑" w:hAnsi="微软雅黑" w:eastAsia="微软雅黑" w:cs="微软雅黑"/>
          <w:sz w:val="21"/>
          <w:szCs w:val="21"/>
          <w:lang w:val="en-US" w:eastAsia="zh-CN"/>
        </w:rPr>
        <w:t>慈善总会</w:t>
      </w:r>
    </w:p>
    <w:p>
      <w:pPr>
        <w:spacing w:before="120"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 xml:space="preserve"> 卖方：本合同卖方系指：</w:t>
      </w:r>
      <w:r>
        <w:rPr>
          <w:rFonts w:hint="eastAsia" w:ascii="微软雅黑" w:hAnsi="微软雅黑" w:eastAsia="微软雅黑" w:cs="微软雅黑"/>
          <w:sz w:val="21"/>
          <w:szCs w:val="21"/>
          <w:u w:val="single"/>
        </w:rPr>
        <w:t>中标供应商</w:t>
      </w:r>
      <w:r>
        <w:rPr>
          <w:rFonts w:hint="eastAsia" w:ascii="微软雅黑" w:hAnsi="微软雅黑" w:eastAsia="微软雅黑" w:cs="微软雅黑"/>
          <w:sz w:val="21"/>
          <w:szCs w:val="21"/>
        </w:rPr>
        <w:t>。</w:t>
      </w:r>
    </w:p>
    <w:p>
      <w:pPr>
        <w:pStyle w:val="3"/>
        <w:bidi w:val="0"/>
        <w:spacing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交货方式</w:t>
      </w:r>
    </w:p>
    <w:p>
      <w:pPr>
        <w:spacing w:before="120"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.1本合同项下的货物交货方式为：</w:t>
      </w:r>
      <w:r>
        <w:rPr>
          <w:rFonts w:hint="eastAsia" w:ascii="微软雅黑" w:hAnsi="微软雅黑" w:eastAsia="微软雅黑" w:cs="微软雅黑"/>
          <w:sz w:val="21"/>
          <w:szCs w:val="21"/>
          <w:u w:val="single"/>
          <w:lang w:val="en-US" w:eastAsia="zh-CN"/>
        </w:rPr>
        <w:t>买方指定地点</w:t>
      </w:r>
      <w:r>
        <w:rPr>
          <w:rFonts w:hint="eastAsia" w:ascii="微软雅黑" w:hAnsi="微软雅黑" w:eastAsia="微软雅黑" w:cs="微软雅黑"/>
          <w:sz w:val="21"/>
          <w:szCs w:val="21"/>
          <w:u w:val="single"/>
        </w:rPr>
        <w:t>交货</w:t>
      </w:r>
      <w:r>
        <w:rPr>
          <w:rFonts w:hint="eastAsia" w:ascii="微软雅黑" w:hAnsi="微软雅黑" w:eastAsia="微软雅黑" w:cs="微软雅黑"/>
          <w:sz w:val="21"/>
          <w:szCs w:val="21"/>
        </w:rPr>
        <w:t xml:space="preserve">。 </w:t>
      </w:r>
    </w:p>
    <w:p>
      <w:pPr>
        <w:pStyle w:val="3"/>
        <w:bidi w:val="0"/>
        <w:spacing w:line="240" w:lineRule="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3、付款方式</w:t>
      </w:r>
    </w:p>
    <w:p>
      <w:pPr>
        <w:spacing w:before="120" w:line="240" w:lineRule="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3.1合同签订后，买方支付合同全款的50%。尾款在收到收货方验收单后5个工作日内支付。</w:t>
      </w:r>
    </w:p>
    <w:p>
      <w:pPr>
        <w:pStyle w:val="3"/>
        <w:bidi w:val="0"/>
        <w:spacing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质量保证</w:t>
      </w:r>
    </w:p>
    <w:p>
      <w:pPr>
        <w:spacing w:before="120" w:line="240" w:lineRule="auto"/>
        <w:rPr>
          <w:rFonts w:hint="eastAsia" w:ascii="微软雅黑" w:hAnsi="微软雅黑" w:eastAsia="微软雅黑" w:cs="微软雅黑"/>
          <w:color w:val="auto"/>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 xml:space="preserve"> 卖方在收到通知后</w:t>
      </w:r>
      <w:r>
        <w:rPr>
          <w:rFonts w:hint="eastAsia" w:ascii="微软雅黑" w:hAnsi="微软雅黑" w:eastAsia="微软雅黑" w:cs="微软雅黑"/>
          <w:sz w:val="21"/>
          <w:szCs w:val="21"/>
          <w:u w:val="single"/>
        </w:rPr>
        <w:t>2</w:t>
      </w:r>
      <w:r>
        <w:rPr>
          <w:rFonts w:hint="eastAsia" w:ascii="微软雅黑" w:hAnsi="微软雅黑" w:eastAsia="微软雅黑" w:cs="微软雅黑"/>
          <w:sz w:val="21"/>
          <w:szCs w:val="21"/>
        </w:rPr>
        <w:t>天内应免费维修或更换有缺陷的货物或部件。如果卖方在收到通知后</w:t>
      </w:r>
      <w:r>
        <w:rPr>
          <w:rFonts w:hint="eastAsia" w:ascii="微软雅黑" w:hAnsi="微软雅黑" w:eastAsia="微软雅黑" w:cs="微软雅黑"/>
          <w:sz w:val="21"/>
          <w:szCs w:val="21"/>
          <w:u w:val="single"/>
        </w:rPr>
        <w:t>5</w:t>
      </w:r>
      <w:r>
        <w:rPr>
          <w:rFonts w:hint="eastAsia" w:ascii="微软雅黑" w:hAnsi="微软雅黑" w:eastAsia="微软雅黑" w:cs="微软雅黑"/>
          <w:sz w:val="21"/>
          <w:szCs w:val="21"/>
        </w:rPr>
        <w:t>天内没有弥补缺陷，买方可采取必要的补救措施</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但风险和</w:t>
      </w:r>
      <w:r>
        <w:rPr>
          <w:rFonts w:hint="eastAsia" w:ascii="微软雅黑" w:hAnsi="微软雅黑" w:eastAsia="微软雅黑" w:cs="微软雅黑"/>
          <w:color w:val="auto"/>
          <w:sz w:val="21"/>
          <w:szCs w:val="21"/>
        </w:rPr>
        <w:t>费用将由卖方承担。</w:t>
      </w:r>
    </w:p>
    <w:p>
      <w:pPr>
        <w:spacing w:before="120" w:line="240" w:lineRule="auto"/>
        <w:ind w:left="420" w:leftChars="0" w:hanging="420" w:firstLineChars="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 xml:space="preserve"> 合同项目下货物和安装工程的质量保证期为货物和安装工程通过最终验收起</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u w:val="single"/>
          <w:lang w:val="en-US" w:eastAsia="zh-CN"/>
        </w:rPr>
        <w:t>12</w:t>
      </w:r>
      <w:r>
        <w:rPr>
          <w:rFonts w:hint="eastAsia" w:ascii="微软雅黑" w:hAnsi="微软雅黑" w:eastAsia="微软雅黑" w:cs="微软雅黑"/>
          <w:color w:val="auto"/>
          <w:sz w:val="21"/>
          <w:szCs w:val="21"/>
        </w:rPr>
        <w:t>个月。</w:t>
      </w:r>
    </w:p>
    <w:p>
      <w:pPr>
        <w:spacing w:before="120" w:line="240" w:lineRule="auto"/>
        <w:ind w:left="420" w:leftChars="0" w:hanging="420" w:firstLineChars="0"/>
        <w:rPr>
          <w:rFonts w:hint="eastAsia" w:ascii="微软雅黑" w:hAnsi="微软雅黑" w:eastAsia="微软雅黑" w:cs="微软雅黑"/>
          <w:sz w:val="21"/>
          <w:szCs w:val="21"/>
        </w:rPr>
      </w:pPr>
      <w:r>
        <w:rPr>
          <w:rFonts w:hint="eastAsia" w:ascii="微软雅黑" w:hAnsi="微软雅黑" w:eastAsia="微软雅黑" w:cs="微软雅黑"/>
          <w:color w:val="auto"/>
          <w:sz w:val="21"/>
          <w:szCs w:val="21"/>
          <w:lang w:val="en-US" w:eastAsia="zh-CN"/>
        </w:rPr>
        <w:t xml:space="preserve">4.3  </w:t>
      </w:r>
      <w:r>
        <w:rPr>
          <w:rFonts w:hint="eastAsia" w:ascii="微软雅黑" w:hAnsi="微软雅黑" w:eastAsia="微软雅黑" w:cs="微软雅黑"/>
          <w:color w:val="auto"/>
          <w:sz w:val="21"/>
          <w:szCs w:val="21"/>
        </w:rPr>
        <w:t>检验和验收：国家有关规定、标准，和基于本次招标所签订的合同，作为货物和安装工程</w:t>
      </w:r>
      <w:r>
        <w:rPr>
          <w:rFonts w:hint="eastAsia" w:ascii="微软雅黑" w:hAnsi="微软雅黑" w:eastAsia="微软雅黑" w:cs="微软雅黑"/>
          <w:sz w:val="21"/>
          <w:szCs w:val="21"/>
        </w:rPr>
        <w:t>验收的主要依据。由</w:t>
      </w:r>
      <w:r>
        <w:rPr>
          <w:rFonts w:hint="eastAsia" w:ascii="微软雅黑" w:hAnsi="微软雅黑" w:eastAsia="微软雅黑" w:cs="微软雅黑"/>
          <w:sz w:val="21"/>
          <w:szCs w:val="21"/>
          <w:lang w:val="en-US" w:eastAsia="zh-CN"/>
        </w:rPr>
        <w:t>收货方人员</w:t>
      </w:r>
      <w:r>
        <w:rPr>
          <w:rFonts w:hint="eastAsia" w:ascii="微软雅黑" w:hAnsi="微软雅黑" w:eastAsia="微软雅黑" w:cs="微软雅黑"/>
          <w:sz w:val="21"/>
          <w:szCs w:val="21"/>
        </w:rPr>
        <w:t>进行验收。</w:t>
      </w:r>
    </w:p>
    <w:p>
      <w:pPr>
        <w:spacing w:before="120" w:line="240" w:lineRule="auto"/>
        <w:ind w:left="960" w:hanging="96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 xml:space="preserve">  货物运抵现场后，</w:t>
      </w:r>
      <w:r>
        <w:rPr>
          <w:rFonts w:hint="eastAsia" w:ascii="微软雅黑" w:hAnsi="微软雅黑" w:eastAsia="微软雅黑" w:cs="微软雅黑"/>
          <w:sz w:val="21"/>
          <w:szCs w:val="21"/>
          <w:lang w:val="en-US" w:eastAsia="zh-CN"/>
        </w:rPr>
        <w:t>收货方</w:t>
      </w:r>
      <w:r>
        <w:rPr>
          <w:rFonts w:hint="eastAsia" w:ascii="微软雅黑" w:hAnsi="微软雅黑" w:eastAsia="微软雅黑" w:cs="微软雅黑"/>
          <w:sz w:val="21"/>
          <w:szCs w:val="21"/>
        </w:rPr>
        <w:t>应在</w:t>
      </w:r>
      <w:r>
        <w:rPr>
          <w:rFonts w:hint="eastAsia" w:ascii="微软雅黑" w:hAnsi="微软雅黑" w:eastAsia="微软雅黑" w:cs="微软雅黑"/>
          <w:sz w:val="21"/>
          <w:szCs w:val="21"/>
          <w:u w:val="single"/>
        </w:rPr>
        <w:t>10</w:t>
      </w:r>
      <w:r>
        <w:rPr>
          <w:rFonts w:hint="eastAsia" w:ascii="微软雅黑" w:hAnsi="微软雅黑" w:eastAsia="微软雅黑" w:cs="微软雅黑"/>
          <w:sz w:val="21"/>
          <w:szCs w:val="21"/>
        </w:rPr>
        <w:t>日内组织验收，并制作验收</w:t>
      </w:r>
      <w:r>
        <w:rPr>
          <w:rFonts w:hint="eastAsia" w:ascii="微软雅黑" w:hAnsi="微软雅黑" w:eastAsia="微软雅黑" w:cs="微软雅黑"/>
          <w:sz w:val="21"/>
          <w:szCs w:val="21"/>
          <w:lang w:val="en-US" w:eastAsia="zh-CN"/>
        </w:rPr>
        <w:t>单</w:t>
      </w:r>
      <w:r>
        <w:rPr>
          <w:rFonts w:hint="eastAsia" w:ascii="微软雅黑" w:hAnsi="微软雅黑" w:eastAsia="微软雅黑" w:cs="微软雅黑"/>
          <w:sz w:val="21"/>
          <w:szCs w:val="21"/>
        </w:rPr>
        <w:t>，签署验收</w:t>
      </w:r>
      <w:r>
        <w:rPr>
          <w:rFonts w:hint="eastAsia" w:ascii="微软雅黑" w:hAnsi="微软雅黑" w:eastAsia="微软雅黑" w:cs="微软雅黑"/>
          <w:sz w:val="21"/>
          <w:szCs w:val="21"/>
          <w:lang w:val="en-US" w:eastAsia="zh-CN"/>
        </w:rPr>
        <w:t>单加盖公章</w:t>
      </w:r>
      <w:r>
        <w:rPr>
          <w:rFonts w:hint="eastAsia" w:ascii="微软雅黑" w:hAnsi="微软雅黑" w:eastAsia="微软雅黑" w:cs="微软雅黑"/>
          <w:sz w:val="21"/>
          <w:szCs w:val="21"/>
        </w:rPr>
        <w:t>。</w:t>
      </w:r>
    </w:p>
    <w:p>
      <w:pPr>
        <w:numPr>
          <w:ilvl w:val="0"/>
          <w:numId w:val="0"/>
        </w:numPr>
        <w:jc w:val="left"/>
        <w:rPr>
          <w:rFonts w:hint="default" w:ascii="微软雅黑" w:hAnsi="微软雅黑" w:eastAsia="微软雅黑" w:cs="微软雅黑"/>
          <w:sz w:val="24"/>
          <w:szCs w:val="24"/>
          <w:lang w:val="en-US" w:eastAsia="zh-CN"/>
        </w:rPr>
      </w:pPr>
    </w:p>
    <w:p>
      <w:pPr>
        <w:widowControl w:val="0"/>
        <w:numPr>
          <w:ilvl w:val="0"/>
          <w:numId w:val="0"/>
        </w:numPr>
        <w:jc w:val="center"/>
        <w:rPr>
          <w:rFonts w:hint="eastAsia" w:ascii="微软雅黑" w:hAnsi="微软雅黑" w:eastAsia="微软雅黑" w:cs="微软雅黑"/>
          <w:sz w:val="28"/>
          <w:szCs w:val="28"/>
          <w:lang w:val="en-US" w:eastAsia="zh-CN"/>
        </w:rPr>
      </w:pPr>
    </w:p>
    <w:p>
      <w:pPr>
        <w:widowControl w:val="0"/>
        <w:numPr>
          <w:ilvl w:val="0"/>
          <w:numId w:val="0"/>
        </w:numPr>
        <w:jc w:val="center"/>
        <w:rPr>
          <w:rFonts w:hint="eastAsia" w:ascii="微软雅黑" w:hAnsi="微软雅黑" w:eastAsia="微软雅黑" w:cs="微软雅黑"/>
          <w:sz w:val="28"/>
          <w:szCs w:val="28"/>
          <w:lang w:val="en-US" w:eastAsia="zh-CN"/>
        </w:rPr>
      </w:pPr>
    </w:p>
    <w:p>
      <w:pPr>
        <w:widowControl w:val="0"/>
        <w:numPr>
          <w:ilvl w:val="0"/>
          <w:numId w:val="0"/>
        </w:numPr>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&lt;关于河北省慈善总会&gt;</w:t>
      </w:r>
    </w:p>
    <w:p>
      <w:pPr>
        <w:widowControl w:val="0"/>
        <w:numPr>
          <w:ilvl w:val="0"/>
          <w:numId w:val="0"/>
        </w:numPr>
        <w:jc w:val="center"/>
        <w:rPr>
          <w:rFonts w:hint="default" w:ascii="微软雅黑" w:hAnsi="微软雅黑" w:eastAsia="微软雅黑" w:cs="微软雅黑"/>
          <w:sz w:val="10"/>
          <w:szCs w:val="10"/>
          <w:lang w:val="en-US" w:eastAsia="zh-CN"/>
        </w:rPr>
      </w:pPr>
    </w:p>
    <w:p>
      <w:pPr>
        <w:widowControl w:val="0"/>
        <w:numPr>
          <w:ilvl w:val="0"/>
          <w:numId w:val="0"/>
        </w:numPr>
        <w:ind w:leftChars="0"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河北省慈善总会成立于2006年6月30日，业务主管单位为河北省民政厅，登记管理机关为河北省社会组织管理局，是具有独立法人资格的全省性非营利5A级社会公益组织。“以习近平新时代中国特色社会主义思想为指导，遵守宪法、法律、法规和国家政策，培育和践行社会主义核心价值观，弘扬中华民族传统慈善文化，引导全社会认识、支持、参与慈善，发扬人道主义精神，开展多种形式的社会救助工作和公益活动，帮助社会上不幸的人和困难群体，推动我省慈善事业快速健康发展”为宗旨。在省委省政府的亲切关怀、中华慈善总会的大力支持和省民政厅的正确指导下，全体会员、各位理事和社会各界爱心人士共同努力，在扶贫救灾、安老助孤、医疗救助、助学支教等方面做了大量富有成效的工作。</w:t>
      </w:r>
    </w:p>
    <w:p>
      <w:pPr>
        <w:widowControl w:val="0"/>
        <w:numPr>
          <w:ilvl w:val="0"/>
          <w:numId w:val="0"/>
        </w:numPr>
        <w:ind w:leftChars="0"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省慈善总会倾心打造了“河北省慈善助困救心工程”、“微笑列车唇腭裂修复医疗救助”、“健行天下”股骨头坏死医疗救助、“晶龙慈善助学工程”、 京海明珠慈善基金会“格力—希望课桌”工程、“贫困糖尿病患者救助”项目、贫困残疾儿童医疗救助“天使计划”项目、中国移动爱“心”行动——河北贫困先心病儿童救助计划项目、血友病——拜科奇慈善援助项目、阳光助学项目、执行中华慈善总会药品援助等品牌救助项目，并不断探索创新慈善救助手段，逐步建立健全慈善救助长效机制。</w:t>
      </w:r>
    </w:p>
    <w:p>
      <w:pPr>
        <w:widowControl w:val="0"/>
        <w:numPr>
          <w:ilvl w:val="0"/>
          <w:numId w:val="0"/>
        </w:numPr>
        <w:ind w:leftChars="0"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总会成立后，经历了南方冰雪灾害、5.12汶川特大地震灾害、西南地区旱灾、青海玉树地震灾害、甘肃舟曲泥石流灾害、保定7.21特大洪水灾害、四川雅安地震、云南鲁甸地震、“7.19”特大洪涝灾害等多次重大自然灾害。历次重大灾情发生后，省慈善总会总是紧急行动，在第一时间通过媒体向社会各界发出募捐倡议，先后为灾区人民募集救灾资金5576万余元。其中：2008年为南方冰雪灾害募捐45万元、为汶川灾区募捐1867万元；2010年为西南旱区募捐15.75万元、为玉树灾区募捐2263万元、为甘肃舟曲募捐224万元；2012年为保定特大洪水灾害募捐506万元、为沈阳岫岩特大洪水灾害募捐100万元；2013年为四川雅安灾区募捐408万元；2014年为云南鲁甸灾区募捐46万元；2016年为我省“2016.7.19”洪涝灾害地区募捐214.72 万元，服装、被褥4万多件，募捐款物都及时转送灾区。</w:t>
      </w:r>
    </w:p>
    <w:p>
      <w:pPr>
        <w:widowControl w:val="0"/>
        <w:numPr>
          <w:ilvl w:val="0"/>
          <w:numId w:val="0"/>
        </w:numPr>
        <w:ind w:leftChars="0" w:firstLine="480" w:firstLineChars="200"/>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河北省慈善总会成立以来，团结带领广大会员，不断开创公益慈善事业的新局面，谱写慈善扶贫济困工作新篇章，为我省构建社会主义和谐社会建设做出了积极贡献。今后，他们必将伴随我省经济社会发展新形势，与时俱进，继往开来，努力拓展我省慈善事业，以救助更多需要救助的贫困群众和弱势群体。让慈善之花越开越旺盛，让慈善之果越结越丰硕！</w:t>
      </w:r>
    </w:p>
    <w:p>
      <w:pPr>
        <w:widowControl w:val="0"/>
        <w:numPr>
          <w:ilvl w:val="0"/>
          <w:numId w:val="0"/>
        </w:numPr>
        <w:ind w:leftChars="0" w:firstLine="480" w:firstLineChars="200"/>
        <w:jc w:val="both"/>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联系方式： 0317-3500551    18733776808  孙金艳  </w:t>
      </w:r>
    </w:p>
    <w:p>
      <w:pPr>
        <w:widowControl w:val="0"/>
        <w:numPr>
          <w:ilvl w:val="0"/>
          <w:numId w:val="0"/>
        </w:numPr>
        <w:ind w:leftChars="0" w:firstLine="480" w:firstLineChars="200"/>
        <w:jc w:val="both"/>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网址： </w:t>
      </w:r>
      <w:r>
        <w:rPr>
          <w:rFonts w:hint="default" w:ascii="微软雅黑" w:hAnsi="微软雅黑" w:eastAsia="微软雅黑" w:cs="微软雅黑"/>
          <w:sz w:val="24"/>
          <w:szCs w:val="24"/>
          <w:lang w:val="en-US" w:eastAsia="zh-CN"/>
        </w:rPr>
        <w:fldChar w:fldCharType="begin"/>
      </w:r>
      <w:r>
        <w:rPr>
          <w:rFonts w:hint="default" w:ascii="微软雅黑" w:hAnsi="微软雅黑" w:eastAsia="微软雅黑" w:cs="微软雅黑"/>
          <w:sz w:val="24"/>
          <w:szCs w:val="24"/>
          <w:lang w:val="en-US" w:eastAsia="zh-CN"/>
        </w:rPr>
        <w:instrText xml:space="preserve"> HYPERLINK "http://www.ecryan.com.cn/info.aspx?m=129" </w:instrText>
      </w:r>
      <w:r>
        <w:rPr>
          <w:rFonts w:hint="default" w:ascii="微软雅黑" w:hAnsi="微软雅黑" w:eastAsia="微软雅黑" w:cs="微软雅黑"/>
          <w:sz w:val="24"/>
          <w:szCs w:val="24"/>
          <w:lang w:val="en-US" w:eastAsia="zh-CN"/>
        </w:rPr>
        <w:fldChar w:fldCharType="separate"/>
      </w:r>
      <w:r>
        <w:rPr>
          <w:rStyle w:val="8"/>
          <w:rFonts w:hint="default" w:ascii="微软雅黑" w:hAnsi="微软雅黑" w:eastAsia="微软雅黑" w:cs="微软雅黑"/>
          <w:sz w:val="24"/>
          <w:szCs w:val="24"/>
          <w:lang w:val="en-US" w:eastAsia="zh-CN"/>
        </w:rPr>
        <w:t>http://www.hebcf.org.cn/</w:t>
      </w:r>
      <w:r>
        <w:rPr>
          <w:rFonts w:hint="default" w:ascii="微软雅黑" w:hAnsi="微软雅黑" w:eastAsia="微软雅黑" w:cs="微软雅黑"/>
          <w:sz w:val="24"/>
          <w:szCs w:val="24"/>
          <w:lang w:val="en-US" w:eastAsia="zh-CN"/>
        </w:rPr>
        <w:fldChar w:fldCharType="end"/>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w:t>
      </w:r>
      <w:bookmarkStart w:id="0" w:name="_GoBack"/>
      <w:bookmarkEnd w:id="0"/>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
      <w:suff w:val="space"/>
      <w:lvlText w:val="（%1）"/>
      <w:lvlJc w:val="left"/>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
      <w:numFmt w:val="decimalEnclosedCircleChinese"/>
      <w:suff w:val="nothing"/>
      <w:lvlText w:val="%1　"/>
      <w:lvlJc w:val="left"/>
      <w:pPr>
        <w:ind w:left="0" w:firstLine="400"/>
      </w:pPr>
      <w:rPr>
        <w:rFonts w:hint="eastAsia"/>
      </w:rPr>
    </w:lvl>
  </w:abstractNum>
  <w:abstractNum w:abstractNumId="5">
    <w:nsid w:val="00000005"/>
    <w:multiLevelType w:val="singleLevel"/>
    <w:tmpl w:val="00000005"/>
    <w:lvl w:ilvl="0" w:tentative="0">
      <w:start w:val="1"/>
      <w:numFmt w:val="chineseCounting"/>
      <w:suff w:val="nothing"/>
      <w:lvlText w:val="%1、"/>
      <w:lvlJc w:val="left"/>
      <w:rPr>
        <w:rFonts w:hint="eastAsia"/>
      </w:rPr>
    </w:lvl>
  </w:abstractNum>
  <w:abstractNum w:abstractNumId="6">
    <w:nsid w:val="2B44FEF1"/>
    <w:multiLevelType w:val="singleLevel"/>
    <w:tmpl w:val="2B44FEF1"/>
    <w:lvl w:ilvl="0" w:tentative="0">
      <w:start w:val="8"/>
      <w:numFmt w:val="chineseCounting"/>
      <w:suff w:val="nothing"/>
      <w:lvlText w:val="%1、"/>
      <w:lvlJc w:val="left"/>
      <w:rPr>
        <w:rFonts w:hint="eastAsia"/>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41E9"/>
    <w:rsid w:val="023B7650"/>
    <w:rsid w:val="02FD33D3"/>
    <w:rsid w:val="030A0D46"/>
    <w:rsid w:val="04EE0B22"/>
    <w:rsid w:val="05F039D1"/>
    <w:rsid w:val="079B5404"/>
    <w:rsid w:val="09566F2D"/>
    <w:rsid w:val="0BBC3910"/>
    <w:rsid w:val="0C1078FC"/>
    <w:rsid w:val="0FA32154"/>
    <w:rsid w:val="11EA55BF"/>
    <w:rsid w:val="1217713A"/>
    <w:rsid w:val="12A46C73"/>
    <w:rsid w:val="12F84010"/>
    <w:rsid w:val="12F9457A"/>
    <w:rsid w:val="182A74D8"/>
    <w:rsid w:val="1B0052E8"/>
    <w:rsid w:val="1B0F7362"/>
    <w:rsid w:val="1E6F0184"/>
    <w:rsid w:val="22C15BC5"/>
    <w:rsid w:val="23836B44"/>
    <w:rsid w:val="258C0F7C"/>
    <w:rsid w:val="28937E05"/>
    <w:rsid w:val="29CE10D5"/>
    <w:rsid w:val="2CEC0DB7"/>
    <w:rsid w:val="2D8A0A39"/>
    <w:rsid w:val="304D2D01"/>
    <w:rsid w:val="3C077B87"/>
    <w:rsid w:val="3D7B6209"/>
    <w:rsid w:val="3E337961"/>
    <w:rsid w:val="3F8C7A59"/>
    <w:rsid w:val="430F3D6A"/>
    <w:rsid w:val="466C21E7"/>
    <w:rsid w:val="46F357A8"/>
    <w:rsid w:val="4AE90C30"/>
    <w:rsid w:val="4B281A7D"/>
    <w:rsid w:val="4CC04AD6"/>
    <w:rsid w:val="510578F8"/>
    <w:rsid w:val="521967CD"/>
    <w:rsid w:val="532B479E"/>
    <w:rsid w:val="534B4067"/>
    <w:rsid w:val="57607EFB"/>
    <w:rsid w:val="583B041A"/>
    <w:rsid w:val="58DA166F"/>
    <w:rsid w:val="5BF97823"/>
    <w:rsid w:val="646F7AAD"/>
    <w:rsid w:val="65567B86"/>
    <w:rsid w:val="6AF35B82"/>
    <w:rsid w:val="6C241E90"/>
    <w:rsid w:val="700C3E8A"/>
    <w:rsid w:val="712A1F94"/>
    <w:rsid w:val="73EF6B3D"/>
    <w:rsid w:val="785C320D"/>
    <w:rsid w:val="7A350AAC"/>
    <w:rsid w:val="7CB31DEF"/>
    <w:rsid w:val="7F7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2046</Words>
  <Characters>2221</Characters>
  <Paragraphs>68</Paragraphs>
  <TotalTime>24</TotalTime>
  <ScaleCrop>false</ScaleCrop>
  <LinksUpToDate>false</LinksUpToDate>
  <CharactersWithSpaces>2243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2020-06-19T14:41:00Z</dcterms:created>
  <dc:creator>吴旻</dc:creator>
  <cp:lastModifiedBy>一蓝 </cp:lastModifiedBy>
  <dcterms:modified xsi:type="dcterms:W3CDTF">2020-08-26T07:08:05Z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